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225"/>
        <w:gridCol w:w="3465"/>
      </w:tblGrid>
      <w:tr w:rsidR="00624B4B" w14:paraId="51A2FBDB" w14:textId="77777777" w:rsidTr="007C360B">
        <w:trPr>
          <w:trHeight w:hRule="exact" w:val="14391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624B4B" w14:paraId="2D3DB8F1" w14:textId="77777777" w:rsidTr="00B61E75">
              <w:trPr>
                <w:cantSplit/>
                <w:trHeight w:hRule="exact" w:val="15120"/>
              </w:trPr>
              <w:tc>
                <w:tcPr>
                  <w:tcW w:w="7200" w:type="dxa"/>
                </w:tcPr>
                <w:p w14:paraId="47E7EC1F" w14:textId="12B7EBC7" w:rsidR="00BE74FF" w:rsidRPr="00C614A2" w:rsidRDefault="00BE74FF" w:rsidP="00BE74FF">
                  <w:pPr>
                    <w:pStyle w:val="Subtitle"/>
                    <w:rPr>
                      <w:sz w:val="72"/>
                      <w:szCs w:val="72"/>
                    </w:rPr>
                  </w:pPr>
                  <w:bookmarkStart w:id="0" w:name="_GoBack"/>
                  <w:bookmarkEnd w:id="0"/>
                  <w:r w:rsidRPr="00C614A2">
                    <w:rPr>
                      <w:sz w:val="72"/>
                      <w:szCs w:val="72"/>
                    </w:rPr>
                    <w:t>Funding FOr TEchnology</w:t>
                  </w:r>
                </w:p>
                <w:p w14:paraId="275A4BA9" w14:textId="460AD684" w:rsidR="00E91703" w:rsidRDefault="00013432" w:rsidP="00E91703">
                  <w:pPr>
                    <w:pStyle w:val="Title"/>
                    <w:rPr>
                      <w:sz w:val="72"/>
                      <w:szCs w:val="72"/>
                    </w:rPr>
                  </w:pPr>
                  <w:r w:rsidRPr="00C614A2">
                    <w:rPr>
                      <w:noProof/>
                      <w:sz w:val="72"/>
                      <w:szCs w:val="72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 wp14:anchorId="74A01E1C" wp14:editId="1ADC38BF">
                        <wp:simplePos x="0" y="0"/>
                        <wp:positionH relativeFrom="column">
                          <wp:posOffset>2543175</wp:posOffset>
                        </wp:positionH>
                        <wp:positionV relativeFrom="paragraph">
                          <wp:posOffset>-1252855</wp:posOffset>
                        </wp:positionV>
                        <wp:extent cx="813435" cy="1143000"/>
                        <wp:effectExtent l="0" t="0" r="0" b="0"/>
                        <wp:wrapSquare wrapText="bothSides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MC900037084[1].WMF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3435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E74FF" w:rsidRPr="00C614A2">
                    <w:rPr>
                      <w:sz w:val="72"/>
                      <w:szCs w:val="72"/>
                    </w:rPr>
                    <w:t xml:space="preserve">Gaining Resources for school inovations </w:t>
                  </w:r>
                </w:p>
                <w:p w14:paraId="4E156989" w14:textId="77777777" w:rsidR="00E91703" w:rsidRPr="00E91703" w:rsidRDefault="00E91703" w:rsidP="00E91703">
                  <w:pPr>
                    <w:pStyle w:val="Title"/>
                    <w:rPr>
                      <w:sz w:val="20"/>
                      <w:szCs w:val="20"/>
                    </w:rPr>
                  </w:pPr>
                </w:p>
                <w:p w14:paraId="267E9020" w14:textId="77777777" w:rsidR="00BE74FF" w:rsidRPr="00E91703" w:rsidRDefault="00BE74FF" w:rsidP="00E91703">
                  <w:pPr>
                    <w:pStyle w:val="Title"/>
                    <w:rPr>
                      <w:rFonts w:asciiTheme="minorHAnsi" w:hAnsiTheme="minorHAnsi" w:cstheme="minorHAnsi"/>
                      <w:b/>
                      <w:sz w:val="72"/>
                      <w:szCs w:val="72"/>
                    </w:rPr>
                  </w:pPr>
                  <w:r w:rsidRPr="00E91703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Grant and Award Opportunities</w:t>
                  </w:r>
                </w:p>
                <w:p w14:paraId="606BEFEB" w14:textId="77777777" w:rsidR="00B61E75" w:rsidRDefault="003F0F48" w:rsidP="00B61E75">
                  <w:r>
                    <w:rPr>
                      <w:i/>
                    </w:rPr>
                    <w:t xml:space="preserve">Classroom </w:t>
                  </w:r>
                  <w:r w:rsidR="00E91703">
                    <w:rPr>
                      <w:i/>
                    </w:rPr>
                    <w:t>Enhancement</w:t>
                  </w:r>
                  <w:r>
                    <w:rPr>
                      <w:i/>
                    </w:rPr>
                    <w:t xml:space="preserve"> Opportunities</w:t>
                  </w:r>
                </w:p>
                <w:p w14:paraId="27DFF179" w14:textId="77777777" w:rsidR="003F0F48" w:rsidRPr="003F0F48" w:rsidRDefault="003F0F48" w:rsidP="00B61E75">
                  <w:r>
                    <w:t xml:space="preserve">Intel Schools of Distinction: </w:t>
                  </w:r>
                  <w:r w:rsidR="00D26621">
                    <w:t xml:space="preserve">Intel seeks to honor American schools demonstrating high achievements in the areas of Mathematics and Science with their Schools of Distinction incentive program.  Finalist schools are awarded </w:t>
                  </w:r>
                  <w:r w:rsidR="0042382B">
                    <w:t xml:space="preserve">between $5,000 and $25,000 and one winner is awarded the title of “Star Innovator.” </w:t>
                  </w:r>
                  <w:hyperlink r:id="rId8" w:history="1">
                    <w:r w:rsidR="0042382B" w:rsidRPr="00441BA9">
                      <w:rPr>
                        <w:rStyle w:val="Hyperlink"/>
                        <w:sz w:val="20"/>
                      </w:rPr>
                      <w:t>http://www.intel.com/content/www/us/en/education/competitions/school-of-distinction.html</w:t>
                    </w:r>
                  </w:hyperlink>
                  <w:r w:rsidR="0042382B">
                    <w:rPr>
                      <w:sz w:val="20"/>
                    </w:rPr>
                    <w:t xml:space="preserve"> </w:t>
                  </w:r>
                </w:p>
                <w:p w14:paraId="553F8666" w14:textId="77777777" w:rsidR="00B61E75" w:rsidRPr="00C614A2" w:rsidRDefault="0077658B" w:rsidP="00B61E75">
                  <w:r>
                    <w:t xml:space="preserve">Toshiba American Foundation: Toshiba wishes to innovate areas of the educational curriculum by sponsoring project ideas for science and mathematics classrooms.  Teachers with development ideas to make </w:t>
                  </w:r>
                  <w:r w:rsidR="00E91703">
                    <w:t xml:space="preserve">learning more fun </w:t>
                  </w:r>
                  <w:r>
                    <w:t xml:space="preserve">can seek funding from Toshiba </w:t>
                  </w:r>
                  <w:r w:rsidR="00E91703">
                    <w:t xml:space="preserve">for a minimum of $5,000.  Toshiba believes that with the proper tools any student can succeed. </w:t>
                  </w:r>
                  <w:hyperlink r:id="rId9" w:history="1">
                    <w:r w:rsidR="00E91703" w:rsidRPr="00844C2D">
                      <w:rPr>
                        <w:rStyle w:val="Hyperlink"/>
                        <w:sz w:val="20"/>
                        <w:szCs w:val="20"/>
                      </w:rPr>
                      <w:t>http://www.toshiba.com/taf/about.jsp</w:t>
                    </w:r>
                  </w:hyperlink>
                  <w:r w:rsidR="00E91703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113CFEC" w14:textId="77777777" w:rsidR="00B61E75" w:rsidRPr="00B61E75" w:rsidRDefault="00B61E75" w:rsidP="00B61E75">
                  <w:pPr>
                    <w:rPr>
                      <w:i/>
                    </w:rPr>
                  </w:pPr>
                  <w:r w:rsidRPr="00B61E75">
                    <w:rPr>
                      <w:i/>
                    </w:rPr>
                    <w:t xml:space="preserve">Educational Extension Programs </w:t>
                  </w:r>
                </w:p>
                <w:p w14:paraId="701C548B" w14:textId="77777777" w:rsidR="00B61E75" w:rsidRDefault="00BE74FF" w:rsidP="00B61E75">
                  <w:r>
                    <w:t xml:space="preserve">Best Buy Community Grants: Best Buy is an electronics store with branches located all over the United States.  Best Buy sponsors a Community Grants </w:t>
                  </w:r>
                  <w:proofErr w:type="gramStart"/>
                  <w:r>
                    <w:t>Foundation which</w:t>
                  </w:r>
                  <w:proofErr w:type="gramEnd"/>
                  <w:r>
                    <w:t xml:space="preserve"> donates $2 million to local and regional non-profit organizations who provide opportunities for teenagers to develop technology skills to further their future educ</w:t>
                  </w:r>
                  <w:r w:rsidR="003F0F48">
                    <w:t xml:space="preserve">ation and career possibilities. </w:t>
                  </w:r>
                  <w:hyperlink r:id="rId10" w:history="1">
                    <w:r w:rsidR="003F0F48" w:rsidRPr="00441BA9">
                      <w:rPr>
                        <w:rStyle w:val="Hyperlink"/>
                        <w:sz w:val="20"/>
                      </w:rPr>
                      <w:t>http://www.bby.com/community-grants/</w:t>
                    </w:r>
                  </w:hyperlink>
                  <w:r w:rsidR="003F0F48">
                    <w:rPr>
                      <w:sz w:val="20"/>
                    </w:rPr>
                    <w:t xml:space="preserve"> </w:t>
                  </w:r>
                </w:p>
                <w:p w14:paraId="09E4411A" w14:textId="77777777" w:rsidR="00B61E75" w:rsidRDefault="00B61E75" w:rsidP="00B61E75">
                  <w:r w:rsidRPr="00F908E6">
                    <w:t>American Honda Foundation:</w:t>
                  </w:r>
                  <w:r>
                    <w:t xml:space="preserve"> Honda</w:t>
                  </w:r>
                  <w:r w:rsidR="003F0F48">
                    <w:t>, world-wide car manufacturer</w:t>
                  </w:r>
                  <w:proofErr w:type="gramStart"/>
                  <w:r w:rsidR="003F0F48">
                    <w:t xml:space="preserve">,  </w:t>
                  </w:r>
                  <w:r>
                    <w:t xml:space="preserve"> strives</w:t>
                  </w:r>
                  <w:proofErr w:type="gramEnd"/>
                  <w:r>
                    <w:t xml:space="preserve"> to assist the society donating $32 million since 1984. Funding had been provided to community organizations all over the country, benefitting youth education in the areas contained within STEM (science, technology, engineering, and mathematics).  </w:t>
                  </w:r>
                  <w:hyperlink r:id="rId11" w:history="1">
                    <w:r w:rsidR="003F0F48" w:rsidRPr="003F0F48">
                      <w:rPr>
                        <w:rStyle w:val="Hyperlink"/>
                        <w:sz w:val="20"/>
                      </w:rPr>
                      <w:t>http://corporate.honda.com/america/philanthropy.aspx?id=ahf</w:t>
                    </w:r>
                  </w:hyperlink>
                  <w:r w:rsidR="003F0F48">
                    <w:t xml:space="preserve"> </w:t>
                  </w:r>
                </w:p>
                <w:p w14:paraId="14A230FB" w14:textId="77777777" w:rsidR="00624B4B" w:rsidRDefault="00624B4B"/>
              </w:tc>
            </w:tr>
            <w:tr w:rsidR="00624B4B" w14:paraId="5A7CC204" w14:textId="77777777">
              <w:trPr>
                <w:trHeight w:hRule="exact" w:val="5760"/>
              </w:trPr>
              <w:tc>
                <w:tcPr>
                  <w:tcW w:w="7200" w:type="dxa"/>
                </w:tcPr>
                <w:p w14:paraId="33ECD263" w14:textId="77777777" w:rsidR="00B61E75" w:rsidRDefault="00B61E75" w:rsidP="00B61E75"/>
                <w:p w14:paraId="1F4FFBD4" w14:textId="77777777" w:rsidR="00B61E75" w:rsidRPr="00F908E6" w:rsidRDefault="00B61E75" w:rsidP="00B61E75"/>
              </w:tc>
            </w:tr>
            <w:tr w:rsidR="00624B4B" w14:paraId="53BC8219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7F2BF0A9" w14:textId="77777777" w:rsidR="00624B4B" w:rsidRDefault="00624B4B"/>
              </w:tc>
            </w:tr>
          </w:tbl>
          <w:p w14:paraId="01D7D8EB" w14:textId="77777777" w:rsidR="00624B4B" w:rsidRDefault="00624B4B"/>
        </w:tc>
        <w:tc>
          <w:tcPr>
            <w:tcW w:w="225" w:type="dxa"/>
          </w:tcPr>
          <w:p w14:paraId="50A96F0F" w14:textId="77777777" w:rsidR="00624B4B" w:rsidRDefault="00624B4B"/>
        </w:tc>
        <w:tc>
          <w:tcPr>
            <w:tcW w:w="3465" w:type="dxa"/>
          </w:tcPr>
          <w:tbl>
            <w:tblPr>
              <w:tblW w:w="3636" w:type="dxa"/>
              <w:tblCellSpacing w:w="7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636"/>
            </w:tblGrid>
            <w:tr w:rsidR="00624B4B" w14:paraId="242C488B" w14:textId="77777777" w:rsidTr="007C360B">
              <w:trPr>
                <w:trHeight w:hRule="exact" w:val="6575"/>
                <w:tblCellSpacing w:w="7" w:type="dxa"/>
              </w:trPr>
              <w:tc>
                <w:tcPr>
                  <w:tcW w:w="3608" w:type="dxa"/>
                  <w:shd w:val="clear" w:color="auto" w:fill="27A8DF" w:themeFill="accent2"/>
                  <w:vAlign w:val="center"/>
                </w:tcPr>
                <w:p w14:paraId="0F167B6E" w14:textId="77777777" w:rsidR="00624B4B" w:rsidRPr="00C614A2" w:rsidRDefault="00E91703" w:rsidP="007C360B">
                  <w:pPr>
                    <w:pStyle w:val="Heading2"/>
                    <w:spacing w:line="240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  <w:t>Intel School of Distinction</w:t>
                  </w:r>
                </w:p>
                <w:p w14:paraId="6C89E16E" w14:textId="77777777" w:rsidR="00624B4B" w:rsidRDefault="00624B4B" w:rsidP="007C360B">
                  <w:pPr>
                    <w:pStyle w:val="Line"/>
                  </w:pPr>
                </w:p>
                <w:p w14:paraId="009A3B31" w14:textId="77777777" w:rsidR="00624B4B" w:rsidRPr="00C614A2" w:rsidRDefault="00E91703" w:rsidP="007C360B">
                  <w:pPr>
                    <w:pStyle w:val="Heading2"/>
                    <w:spacing w:line="240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  <w:t>Toshiba American Foundation</w:t>
                  </w:r>
                </w:p>
                <w:p w14:paraId="37DD6E97" w14:textId="77777777" w:rsidR="00624B4B" w:rsidRDefault="00624B4B" w:rsidP="007C360B">
                  <w:pPr>
                    <w:pStyle w:val="Line"/>
                  </w:pPr>
                </w:p>
                <w:p w14:paraId="44E85BA4" w14:textId="77777777" w:rsidR="00624B4B" w:rsidRPr="00C614A2" w:rsidRDefault="00E91703" w:rsidP="007C360B">
                  <w:pPr>
                    <w:pStyle w:val="Heading2"/>
                    <w:spacing w:line="240" w:lineRule="auto"/>
                    <w:rPr>
                      <w:sz w:val="28"/>
                    </w:rPr>
                  </w:pPr>
                  <w:r w:rsidRPr="00C614A2">
                    <w:rPr>
                      <w:sz w:val="28"/>
                    </w:rPr>
                    <w:t xml:space="preserve">Best Buy Community Grants </w:t>
                  </w:r>
                </w:p>
                <w:p w14:paraId="21107E25" w14:textId="77777777" w:rsidR="00624B4B" w:rsidRDefault="00624B4B" w:rsidP="007C360B">
                  <w:pPr>
                    <w:pStyle w:val="Line"/>
                  </w:pPr>
                </w:p>
                <w:p w14:paraId="10C40392" w14:textId="77777777" w:rsidR="00624B4B" w:rsidRPr="00C614A2" w:rsidRDefault="00E91703" w:rsidP="007C360B">
                  <w:pPr>
                    <w:pStyle w:val="Heading2"/>
                    <w:spacing w:line="240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  <w:t>American Honda Foundation</w:t>
                  </w:r>
                </w:p>
                <w:p w14:paraId="4AC9BF5F" w14:textId="77777777" w:rsidR="00624B4B" w:rsidRDefault="00624B4B" w:rsidP="007C360B">
                  <w:pPr>
                    <w:pStyle w:val="Line"/>
                  </w:pPr>
                </w:p>
                <w:p w14:paraId="38BF765B" w14:textId="6982A209" w:rsidR="00624B4B" w:rsidRDefault="008D6B17" w:rsidP="007C360B">
                  <w:pPr>
                    <w:pStyle w:val="Heading2"/>
                    <w:spacing w:line="240" w:lineRule="auto"/>
                  </w:pPr>
                  <w:r>
                    <w:rPr>
                      <w:sz w:val="28"/>
                    </w:rPr>
                    <w:t>Verizon Foundation</w:t>
                  </w:r>
                </w:p>
              </w:tc>
            </w:tr>
            <w:tr w:rsidR="00624B4B" w14:paraId="41FA623F" w14:textId="77777777" w:rsidTr="007C360B">
              <w:trPr>
                <w:trHeight w:hRule="exact" w:val="144"/>
                <w:tblCellSpacing w:w="7" w:type="dxa"/>
              </w:trPr>
              <w:tc>
                <w:tcPr>
                  <w:tcW w:w="3608" w:type="dxa"/>
                </w:tcPr>
                <w:p w14:paraId="51E7BAE9" w14:textId="77777777" w:rsidR="00624B4B" w:rsidRDefault="00624B4B"/>
              </w:tc>
            </w:tr>
          </w:tbl>
          <w:p w14:paraId="3D97F06A" w14:textId="77777777" w:rsidR="00E91703" w:rsidRDefault="00E91703">
            <w:pPr>
              <w:rPr>
                <w:i/>
              </w:rPr>
            </w:pPr>
            <w:r>
              <w:rPr>
                <w:i/>
              </w:rPr>
              <w:t>Technology Innovations</w:t>
            </w:r>
          </w:p>
          <w:p w14:paraId="08EEF112" w14:textId="2DE58A18" w:rsidR="00624B4B" w:rsidRPr="00CD2DF0" w:rsidRDefault="00E91703" w:rsidP="00CD2DF0">
            <w:r>
              <w:t xml:space="preserve">Verizon Foundation: </w:t>
            </w:r>
            <w:r w:rsidR="00CD2DF0">
              <w:t xml:space="preserve">Verizon offers many technological opportunities not limited to the field of education.  They provide trainings for teachers among other organizations, and their website </w:t>
            </w:r>
            <w:hyperlink r:id="rId12" w:history="1">
              <w:r w:rsidR="00CD2DF0">
                <w:rPr>
                  <w:rStyle w:val="Hyperlink"/>
                </w:rPr>
                <w:t>T</w:t>
              </w:r>
              <w:r w:rsidR="00CD2DF0" w:rsidRPr="00844C2D">
                <w:rPr>
                  <w:rStyle w:val="Hyperlink"/>
                </w:rPr>
                <w:t>hinkfinity.org</w:t>
              </w:r>
            </w:hyperlink>
            <w:r w:rsidR="00CD2DF0">
              <w:t xml:space="preserve"> gives teachers access to thousands of free digital resources.  In addition to these services</w:t>
            </w:r>
            <w:r w:rsidR="007C360B">
              <w:t xml:space="preserve"> Verizon seeks to drive students initiatives through the App Challenge, where students develop a mobile app addressing a need or problem that their school faces.  Winners of this contest are given more funding opportunities. </w:t>
            </w:r>
            <w:hyperlink r:id="rId13" w:anchor="education" w:history="1">
              <w:r w:rsidR="007C360B" w:rsidRPr="007C360B">
                <w:rPr>
                  <w:rStyle w:val="Hyperlink"/>
                  <w:sz w:val="20"/>
                  <w:szCs w:val="20"/>
                </w:rPr>
                <w:t>http://www.verizonfoundation.org/our-focus/#education</w:t>
              </w:r>
            </w:hyperlink>
            <w:r w:rsidR="007C360B">
              <w:t xml:space="preserve"> </w:t>
            </w:r>
          </w:p>
        </w:tc>
      </w:tr>
    </w:tbl>
    <w:p w14:paraId="74A4E2DD" w14:textId="77777777" w:rsidR="00624B4B" w:rsidRDefault="00624B4B">
      <w:pPr>
        <w:pStyle w:val="NoSpacing"/>
      </w:pPr>
    </w:p>
    <w:sectPr w:rsidR="00624B4B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FF"/>
    <w:rsid w:val="00013432"/>
    <w:rsid w:val="00272806"/>
    <w:rsid w:val="003437E8"/>
    <w:rsid w:val="003F0F48"/>
    <w:rsid w:val="0042382B"/>
    <w:rsid w:val="005E72CC"/>
    <w:rsid w:val="00624B4B"/>
    <w:rsid w:val="0077658B"/>
    <w:rsid w:val="007C360B"/>
    <w:rsid w:val="008D6B17"/>
    <w:rsid w:val="00B61E75"/>
    <w:rsid w:val="00BE74FF"/>
    <w:rsid w:val="00C614A2"/>
    <w:rsid w:val="00CD2DF0"/>
    <w:rsid w:val="00D26621"/>
    <w:rsid w:val="00E91703"/>
    <w:rsid w:val="00F9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D20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A5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00A59B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00A59B" w:themeColor="accent1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00A59B" w:themeColor="accent1"/>
    </w:rPr>
  </w:style>
  <w:style w:type="character" w:styleId="Hyperlink">
    <w:name w:val="Hyperlink"/>
    <w:basedOn w:val="DefaultParagraphFont"/>
    <w:uiPriority w:val="99"/>
    <w:unhideWhenUsed/>
    <w:rsid w:val="003F0F48"/>
    <w:rPr>
      <w:color w:val="27A8D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14A2"/>
    <w:rPr>
      <w:color w:val="7F63AB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A5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00A59B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00A59B" w:themeColor="accent1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00A59B" w:themeColor="accent1"/>
    </w:rPr>
  </w:style>
  <w:style w:type="character" w:styleId="Hyperlink">
    <w:name w:val="Hyperlink"/>
    <w:basedOn w:val="DefaultParagraphFont"/>
    <w:uiPriority w:val="99"/>
    <w:unhideWhenUsed/>
    <w:rsid w:val="003F0F48"/>
    <w:rPr>
      <w:color w:val="27A8D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14A2"/>
    <w:rPr>
      <w:color w:val="7F63A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orporate.honda.com/america/philanthropy.aspx?id=ahf" TargetMode="External"/><Relationship Id="rId12" Type="http://schemas.openxmlformats.org/officeDocument/2006/relationships/hyperlink" Target="http://www.thinkfinity.orge" TargetMode="External"/><Relationship Id="rId13" Type="http://schemas.openxmlformats.org/officeDocument/2006/relationships/hyperlink" Target="http://www.verizonfoundation.org/our-focus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WMF"/><Relationship Id="rId8" Type="http://schemas.openxmlformats.org/officeDocument/2006/relationships/hyperlink" Target="http://www.intel.com/content/www/us/en/education/competitions/school-of-distinction.html" TargetMode="External"/><Relationship Id="rId9" Type="http://schemas.openxmlformats.org/officeDocument/2006/relationships/hyperlink" Target="http://www.toshiba.com/taf/about.jsp" TargetMode="External"/><Relationship Id="rId10" Type="http://schemas.openxmlformats.org/officeDocument/2006/relationships/hyperlink" Target="http://www.bby.com/community-grant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knapp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E510-0562-42B4-AAA9-BD52FD9DD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B02D4-D703-3441-849F-60C81947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\Users\mdknapp\AppData\Roaming\Microsoft\Templates\Event flyer.dotx</Template>
  <TotalTime>0</TotalTime>
  <Pages>1</Pages>
  <Words>428</Words>
  <Characters>2446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Mac Owner</cp:lastModifiedBy>
  <cp:revision>2</cp:revision>
  <cp:lastPrinted>2012-12-25T21:02:00Z</cp:lastPrinted>
  <dcterms:created xsi:type="dcterms:W3CDTF">2014-02-06T19:46:00Z</dcterms:created>
  <dcterms:modified xsi:type="dcterms:W3CDTF">2014-02-06T19:46:00Z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TC039885619991</vt:lpwstr>
  </property>
</Properties>
</file>